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771" w:rsidRPr="00913771" w:rsidRDefault="00913771" w:rsidP="0091377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913771">
        <w:rPr>
          <w:rFonts w:ascii="Times New Roman" w:eastAsia="Times New Roman" w:hAnsi="Times New Roman" w:cs="Times New Roman"/>
          <w:b/>
          <w:bCs/>
          <w:kern w:val="36"/>
          <w:sz w:val="48"/>
          <w:szCs w:val="48"/>
        </w:rPr>
        <w:t>Power Spectrum Estimation Methods (Advanced Signal Processing Toolkit)</w:t>
      </w:r>
    </w:p>
    <w:p w:rsidR="00913771" w:rsidRPr="00913771" w:rsidRDefault="00913771" w:rsidP="00913771">
      <w:pPr>
        <w:spacing w:after="0" w:line="240" w:lineRule="auto"/>
        <w:rPr>
          <w:rFonts w:ascii="Times New Roman" w:eastAsia="Times New Roman" w:hAnsi="Times New Roman" w:cs="Times New Roman"/>
          <w:sz w:val="24"/>
          <w:szCs w:val="24"/>
        </w:rPr>
      </w:pPr>
      <w:r w:rsidRPr="00913771">
        <w:rPr>
          <w:rFonts w:ascii="Times New Roman" w:eastAsia="Times New Roman" w:hAnsi="Times New Roman" w:cs="Times New Roman"/>
          <w:b/>
          <w:bCs/>
          <w:sz w:val="24"/>
          <w:szCs w:val="24"/>
        </w:rPr>
        <w:t>»</w:t>
      </w:r>
      <w:hyperlink r:id="rId5" w:history="1">
        <w:r w:rsidRPr="00913771">
          <w:rPr>
            <w:rFonts w:ascii="Times New Roman" w:eastAsia="Times New Roman" w:hAnsi="Times New Roman" w:cs="Times New Roman"/>
            <w:b/>
            <w:bCs/>
            <w:color w:val="0000FF"/>
            <w:sz w:val="24"/>
            <w:szCs w:val="24"/>
            <w:u w:val="single"/>
          </w:rPr>
          <w:t>View Product Info</w:t>
        </w:r>
      </w:hyperlink>
      <w:r w:rsidRPr="00913771">
        <w:rPr>
          <w:rFonts w:ascii="Times New Roman" w:eastAsia="Times New Roman" w:hAnsi="Times New Roman" w:cs="Times New Roman"/>
          <w:sz w:val="24"/>
          <w:szCs w:val="24"/>
        </w:rPr>
        <w:t xml:space="preserve"> </w:t>
      </w:r>
    </w:p>
    <w:p w:rsidR="00340C53" w:rsidRDefault="00913771" w:rsidP="00913771">
      <w:pPr>
        <w:spacing w:before="100" w:beforeAutospacing="1" w:after="100" w:afterAutospacing="1" w:line="240" w:lineRule="auto"/>
        <w:rPr>
          <w:rFonts w:ascii="Times New Roman" w:eastAsia="Times New Roman" w:hAnsi="Times New Roman" w:cs="Times New Roman"/>
          <w:sz w:val="36"/>
          <w:szCs w:val="36"/>
        </w:rPr>
      </w:pPr>
      <w:r w:rsidRPr="00340C53">
        <w:rPr>
          <w:rFonts w:ascii="Times New Roman" w:eastAsia="Times New Roman" w:hAnsi="Times New Roman" w:cs="Times New Roman"/>
          <w:sz w:val="36"/>
          <w:szCs w:val="36"/>
        </w:rPr>
        <w:t xml:space="preserve">A power spectrum describes the energy distribution of a time series in the frequency domain. </w:t>
      </w:r>
    </w:p>
    <w:p w:rsidR="00913771" w:rsidRPr="00340C53" w:rsidRDefault="00913771" w:rsidP="00913771">
      <w:pPr>
        <w:spacing w:before="100" w:beforeAutospacing="1" w:after="100" w:afterAutospacing="1" w:line="240" w:lineRule="auto"/>
        <w:rPr>
          <w:rFonts w:ascii="Times New Roman" w:eastAsia="Times New Roman" w:hAnsi="Times New Roman" w:cs="Times New Roman"/>
          <w:sz w:val="36"/>
          <w:szCs w:val="36"/>
        </w:rPr>
      </w:pPr>
      <w:r w:rsidRPr="00340C53">
        <w:rPr>
          <w:rFonts w:ascii="Times New Roman" w:eastAsia="Times New Roman" w:hAnsi="Times New Roman" w:cs="Times New Roman"/>
          <w:sz w:val="36"/>
          <w:szCs w:val="36"/>
        </w:rPr>
        <w:t>Energy is a real-valued quantity, so the power spectrum does not contain phase information. Because a time series may contain non-periodic or asynchronously-sampled periodic signal components, the power spectrum of a time series typically is considered to be a continuous function of frequency. When you use a series of discrete frequency bins to represent the continuous frequency, the value at a specific frequency bin is proportional to the frequency interval. To remove the dependence on the size of the frequency interval, you can normalize the power spectrum to produce the power spectral density (PSD), which is the power spectrum divided by the size of the frequency interval.</w:t>
      </w:r>
    </w:p>
    <w:p w:rsidR="00913771" w:rsidRPr="0067300B" w:rsidRDefault="00913771" w:rsidP="00913771">
      <w:pPr>
        <w:spacing w:before="100" w:beforeAutospacing="1" w:after="100" w:afterAutospacing="1" w:line="240" w:lineRule="auto"/>
        <w:rPr>
          <w:rFonts w:ascii="Times New Roman" w:eastAsia="Times New Roman" w:hAnsi="Times New Roman" w:cs="Times New Roman"/>
          <w:sz w:val="32"/>
          <w:szCs w:val="32"/>
        </w:rPr>
      </w:pPr>
      <w:r w:rsidRPr="0067300B">
        <w:rPr>
          <w:rFonts w:ascii="Times New Roman" w:eastAsia="Times New Roman" w:hAnsi="Times New Roman" w:cs="Times New Roman"/>
          <w:sz w:val="32"/>
          <w:szCs w:val="32"/>
        </w:rPr>
        <w:t>The PSD measures the signal power per unit bandwidth for a time series in V</w:t>
      </w:r>
      <w:r w:rsidRPr="0067300B">
        <w:rPr>
          <w:rFonts w:ascii="Times New Roman" w:eastAsia="Times New Roman" w:hAnsi="Times New Roman" w:cs="Times New Roman"/>
          <w:sz w:val="32"/>
          <w:szCs w:val="32"/>
          <w:vertAlign w:val="superscript"/>
        </w:rPr>
        <w:t>2</w:t>
      </w:r>
      <w:r w:rsidRPr="0067300B">
        <w:rPr>
          <w:rFonts w:ascii="Times New Roman" w:eastAsia="Times New Roman" w:hAnsi="Times New Roman" w:cs="Times New Roman"/>
          <w:sz w:val="32"/>
          <w:szCs w:val="32"/>
        </w:rPr>
        <w:t>/Hz, which implicitly assumes that the PSD represents a signal in volts driving a 1 ohm load. If the PSD is represented in a decibel (dB), the corresponding unit for the PSD is dB ref V/</w:t>
      </w:r>
      <w:proofErr w:type="spellStart"/>
      <w:r w:rsidRPr="0067300B">
        <w:rPr>
          <w:rFonts w:ascii="Times New Roman" w:eastAsia="Times New Roman" w:hAnsi="Times New Roman" w:cs="Times New Roman"/>
          <w:sz w:val="32"/>
          <w:szCs w:val="32"/>
        </w:rPr>
        <w:t>sqrt</w:t>
      </w:r>
      <w:proofErr w:type="spellEnd"/>
      <w:r w:rsidRPr="0067300B">
        <w:rPr>
          <w:rFonts w:ascii="Times New Roman" w:eastAsia="Times New Roman" w:hAnsi="Times New Roman" w:cs="Times New Roman"/>
          <w:sz w:val="32"/>
          <w:szCs w:val="32"/>
        </w:rPr>
        <w:t xml:space="preserve">(Hz). If you want to use other units for the estimated PSD of a time series, you need to scale the unit of the time series into appropriate engineering units (EU). After scaling the unit of the time series, you can obtain the corresponding unit for the linear PSD value and the dB PSD value as EU </w:t>
      </w:r>
      <w:r w:rsidRPr="0067300B">
        <w:rPr>
          <w:rFonts w:ascii="Times New Roman" w:eastAsia="Times New Roman" w:hAnsi="Times New Roman" w:cs="Times New Roman"/>
          <w:sz w:val="32"/>
          <w:szCs w:val="32"/>
          <w:vertAlign w:val="superscript"/>
        </w:rPr>
        <w:t>2</w:t>
      </w:r>
      <w:r w:rsidRPr="0067300B">
        <w:rPr>
          <w:rFonts w:ascii="Times New Roman" w:eastAsia="Times New Roman" w:hAnsi="Times New Roman" w:cs="Times New Roman"/>
          <w:sz w:val="32"/>
          <w:szCs w:val="32"/>
        </w:rPr>
        <w:t>/Hz and dB ref EU/</w:t>
      </w:r>
      <w:proofErr w:type="spellStart"/>
      <w:r w:rsidRPr="0067300B">
        <w:rPr>
          <w:rFonts w:ascii="Times New Roman" w:eastAsia="Times New Roman" w:hAnsi="Times New Roman" w:cs="Times New Roman"/>
          <w:sz w:val="32"/>
          <w:szCs w:val="32"/>
        </w:rPr>
        <w:t>sqrt</w:t>
      </w:r>
      <w:proofErr w:type="spellEnd"/>
      <w:r w:rsidRPr="0067300B">
        <w:rPr>
          <w:rFonts w:ascii="Times New Roman" w:eastAsia="Times New Roman" w:hAnsi="Times New Roman" w:cs="Times New Roman"/>
          <w:sz w:val="32"/>
          <w:szCs w:val="32"/>
        </w:rPr>
        <w:t xml:space="preserve">(Hz), respectively. Use the </w:t>
      </w:r>
      <w:hyperlink r:id="rId6" w:history="1">
        <w:r w:rsidRPr="0067300B">
          <w:rPr>
            <w:rFonts w:ascii="Times New Roman" w:eastAsia="Times New Roman" w:hAnsi="Times New Roman" w:cs="Times New Roman"/>
            <w:color w:val="0000FF"/>
            <w:sz w:val="32"/>
            <w:szCs w:val="32"/>
            <w:u w:val="single"/>
          </w:rPr>
          <w:t>TSA Scale to EU</w:t>
        </w:r>
      </w:hyperlink>
      <w:r w:rsidRPr="0067300B">
        <w:rPr>
          <w:rFonts w:ascii="Times New Roman" w:eastAsia="Times New Roman" w:hAnsi="Times New Roman" w:cs="Times New Roman"/>
          <w:sz w:val="32"/>
          <w:szCs w:val="32"/>
        </w:rPr>
        <w:t xml:space="preserve"> VI to scale the unit for a time series to appropriate EU.</w:t>
      </w:r>
    </w:p>
    <w:p w:rsidR="00913771" w:rsidRPr="0067300B" w:rsidRDefault="00913771" w:rsidP="00913771">
      <w:pPr>
        <w:spacing w:before="100" w:beforeAutospacing="1" w:after="100" w:afterAutospacing="1" w:line="240" w:lineRule="auto"/>
        <w:rPr>
          <w:rFonts w:ascii="Times New Roman" w:eastAsia="Times New Roman" w:hAnsi="Times New Roman" w:cs="Times New Roman"/>
          <w:sz w:val="32"/>
          <w:szCs w:val="32"/>
        </w:rPr>
      </w:pPr>
      <w:r w:rsidRPr="0067300B">
        <w:rPr>
          <w:rFonts w:ascii="Times New Roman" w:eastAsia="Times New Roman" w:hAnsi="Times New Roman" w:cs="Times New Roman"/>
          <w:sz w:val="32"/>
          <w:szCs w:val="32"/>
        </w:rPr>
        <w:t>PSD estimation methods are classified as follows:</w:t>
      </w:r>
    </w:p>
    <w:p w:rsidR="00913771" w:rsidRPr="0067300B" w:rsidRDefault="00913771" w:rsidP="00913771">
      <w:pPr>
        <w:numPr>
          <w:ilvl w:val="0"/>
          <w:numId w:val="1"/>
        </w:numPr>
        <w:spacing w:before="100" w:beforeAutospacing="1" w:after="100" w:afterAutospacing="1" w:line="240" w:lineRule="auto"/>
        <w:rPr>
          <w:rFonts w:ascii="Times New Roman" w:eastAsia="Times New Roman" w:hAnsi="Times New Roman" w:cs="Times New Roman"/>
          <w:sz w:val="32"/>
          <w:szCs w:val="32"/>
        </w:rPr>
      </w:pPr>
      <w:r w:rsidRPr="0067300B">
        <w:rPr>
          <w:rFonts w:ascii="Times New Roman" w:eastAsia="Times New Roman" w:hAnsi="Times New Roman" w:cs="Times New Roman"/>
          <w:b/>
          <w:bCs/>
          <w:sz w:val="32"/>
          <w:szCs w:val="32"/>
        </w:rPr>
        <w:lastRenderedPageBreak/>
        <w:t>Parametric methods</w:t>
      </w:r>
      <w:r w:rsidRPr="0067300B">
        <w:rPr>
          <w:rFonts w:ascii="Times New Roman" w:eastAsia="Times New Roman" w:hAnsi="Times New Roman" w:cs="Times New Roman"/>
          <w:sz w:val="32"/>
          <w:szCs w:val="32"/>
        </w:rPr>
        <w:t xml:space="preserve">—These methods are based on parametric models of a time series, such as AR models, moving average (MA) models, and autoregressive-moving average (ARMA) models. Therefore, parametric methods also are known as </w:t>
      </w:r>
      <w:hyperlink r:id="rId7" w:history="1">
        <w:r w:rsidRPr="0067300B">
          <w:rPr>
            <w:rFonts w:ascii="Times New Roman" w:eastAsia="Times New Roman" w:hAnsi="Times New Roman" w:cs="Times New Roman"/>
            <w:color w:val="0000FF"/>
            <w:sz w:val="32"/>
            <w:szCs w:val="32"/>
            <w:u w:val="single"/>
          </w:rPr>
          <w:t>model-based methods</w:t>
        </w:r>
      </w:hyperlink>
      <w:r w:rsidRPr="0067300B">
        <w:rPr>
          <w:rFonts w:ascii="Times New Roman" w:eastAsia="Times New Roman" w:hAnsi="Times New Roman" w:cs="Times New Roman"/>
          <w:sz w:val="32"/>
          <w:szCs w:val="32"/>
        </w:rPr>
        <w:t xml:space="preserve">. To estimate the PSD of a time series with parametric methods, you need to obtain the model parameters of the time series first. </w:t>
      </w:r>
      <w:r w:rsidRPr="0067300B">
        <w:rPr>
          <w:rFonts w:ascii="Times New Roman" w:eastAsia="Times New Roman" w:hAnsi="Times New Roman" w:cs="Times New Roman"/>
          <w:sz w:val="32"/>
          <w:szCs w:val="32"/>
        </w:rPr>
        <w:br/>
      </w:r>
      <w:r w:rsidRPr="0067300B">
        <w:rPr>
          <w:rFonts w:ascii="Times New Roman" w:eastAsia="Times New Roman" w:hAnsi="Times New Roman" w:cs="Times New Roman"/>
          <w:sz w:val="32"/>
          <w:szCs w:val="32"/>
        </w:rPr>
        <w:br/>
        <w:t xml:space="preserve">You must </w:t>
      </w:r>
      <w:hyperlink r:id="rId8" w:history="1">
        <w:r w:rsidRPr="0067300B">
          <w:rPr>
            <w:rFonts w:ascii="Times New Roman" w:eastAsia="Times New Roman" w:hAnsi="Times New Roman" w:cs="Times New Roman"/>
            <w:color w:val="0000FF"/>
            <w:sz w:val="32"/>
            <w:szCs w:val="32"/>
            <w:u w:val="single"/>
          </w:rPr>
          <w:t>build an appropriate model</w:t>
        </w:r>
      </w:hyperlink>
      <w:r w:rsidRPr="0067300B">
        <w:rPr>
          <w:rFonts w:ascii="Times New Roman" w:eastAsia="Times New Roman" w:hAnsi="Times New Roman" w:cs="Times New Roman"/>
          <w:sz w:val="32"/>
          <w:szCs w:val="32"/>
        </w:rPr>
        <w:t xml:space="preserve"> that correctly reflects the behavior of the system that generates the time series; otherwise, the estimated PSD might not be reliable. </w:t>
      </w:r>
      <w:r w:rsidRPr="0067300B">
        <w:rPr>
          <w:rFonts w:ascii="Times New Roman" w:eastAsia="Times New Roman" w:hAnsi="Times New Roman" w:cs="Times New Roman"/>
          <w:sz w:val="32"/>
          <w:szCs w:val="32"/>
        </w:rPr>
        <w:br/>
      </w:r>
      <w:r w:rsidRPr="0067300B">
        <w:rPr>
          <w:rFonts w:ascii="Times New Roman" w:eastAsia="Times New Roman" w:hAnsi="Times New Roman" w:cs="Times New Roman"/>
          <w:sz w:val="32"/>
          <w:szCs w:val="32"/>
        </w:rPr>
        <w:br/>
        <w:t xml:space="preserve">The </w:t>
      </w:r>
      <w:hyperlink r:id="rId9" w:history="1">
        <w:r w:rsidRPr="0067300B">
          <w:rPr>
            <w:rFonts w:ascii="Times New Roman" w:eastAsia="Times New Roman" w:hAnsi="Times New Roman" w:cs="Times New Roman"/>
            <w:color w:val="0000FF"/>
            <w:sz w:val="32"/>
            <w:szCs w:val="32"/>
            <w:u w:val="single"/>
          </w:rPr>
          <w:t>multiple signal classification (MUSIC) method</w:t>
        </w:r>
      </w:hyperlink>
      <w:r w:rsidRPr="0067300B">
        <w:rPr>
          <w:rFonts w:ascii="Times New Roman" w:eastAsia="Times New Roman" w:hAnsi="Times New Roman" w:cs="Times New Roman"/>
          <w:sz w:val="32"/>
          <w:szCs w:val="32"/>
        </w:rPr>
        <w:t xml:space="preserve"> also is a model-based spectral estimation method. </w:t>
      </w:r>
    </w:p>
    <w:p w:rsidR="00913771" w:rsidRPr="0067300B" w:rsidRDefault="00913771" w:rsidP="00913771">
      <w:pPr>
        <w:numPr>
          <w:ilvl w:val="0"/>
          <w:numId w:val="1"/>
        </w:numPr>
        <w:spacing w:before="100" w:beforeAutospacing="1" w:after="100" w:afterAutospacing="1" w:line="240" w:lineRule="auto"/>
        <w:rPr>
          <w:rFonts w:ascii="Times New Roman" w:eastAsia="Times New Roman" w:hAnsi="Times New Roman" w:cs="Times New Roman"/>
          <w:sz w:val="32"/>
          <w:szCs w:val="32"/>
        </w:rPr>
      </w:pPr>
      <w:r w:rsidRPr="0067300B">
        <w:rPr>
          <w:rFonts w:ascii="Times New Roman" w:eastAsia="Times New Roman" w:hAnsi="Times New Roman" w:cs="Times New Roman"/>
          <w:b/>
          <w:bCs/>
          <w:sz w:val="32"/>
          <w:szCs w:val="32"/>
        </w:rPr>
        <w:t>Nonparametric methods</w:t>
      </w:r>
      <w:r w:rsidRPr="0067300B">
        <w:rPr>
          <w:rFonts w:ascii="Times New Roman" w:eastAsia="Times New Roman" w:hAnsi="Times New Roman" w:cs="Times New Roman"/>
          <w:sz w:val="32"/>
          <w:szCs w:val="32"/>
        </w:rPr>
        <w:t xml:space="preserve">—These methods, which include the </w:t>
      </w:r>
      <w:hyperlink r:id="rId10" w:history="1">
        <w:proofErr w:type="spellStart"/>
        <w:r w:rsidRPr="0067300B">
          <w:rPr>
            <w:rFonts w:ascii="Times New Roman" w:eastAsia="Times New Roman" w:hAnsi="Times New Roman" w:cs="Times New Roman"/>
            <w:color w:val="0000FF"/>
            <w:sz w:val="32"/>
            <w:szCs w:val="32"/>
            <w:u w:val="single"/>
          </w:rPr>
          <w:t>periodogram</w:t>
        </w:r>
        <w:proofErr w:type="spellEnd"/>
        <w:r w:rsidRPr="0067300B">
          <w:rPr>
            <w:rFonts w:ascii="Times New Roman" w:eastAsia="Times New Roman" w:hAnsi="Times New Roman" w:cs="Times New Roman"/>
            <w:color w:val="0000FF"/>
            <w:sz w:val="32"/>
            <w:szCs w:val="32"/>
            <w:u w:val="single"/>
          </w:rPr>
          <w:t xml:space="preserve"> method</w:t>
        </w:r>
      </w:hyperlink>
      <w:r w:rsidRPr="0067300B">
        <w:rPr>
          <w:rFonts w:ascii="Times New Roman" w:eastAsia="Times New Roman" w:hAnsi="Times New Roman" w:cs="Times New Roman"/>
          <w:sz w:val="32"/>
          <w:szCs w:val="32"/>
        </w:rPr>
        <w:t xml:space="preserve">, </w:t>
      </w:r>
      <w:hyperlink r:id="rId11" w:history="1">
        <w:r w:rsidRPr="0067300B">
          <w:rPr>
            <w:rFonts w:ascii="Times New Roman" w:eastAsia="Times New Roman" w:hAnsi="Times New Roman" w:cs="Times New Roman"/>
            <w:color w:val="0000FF"/>
            <w:sz w:val="32"/>
            <w:szCs w:val="32"/>
            <w:u w:val="single"/>
          </w:rPr>
          <w:t>Welch method</w:t>
        </w:r>
      </w:hyperlink>
      <w:r w:rsidRPr="0067300B">
        <w:rPr>
          <w:rFonts w:ascii="Times New Roman" w:eastAsia="Times New Roman" w:hAnsi="Times New Roman" w:cs="Times New Roman"/>
          <w:sz w:val="32"/>
          <w:szCs w:val="32"/>
        </w:rPr>
        <w:t xml:space="preserve">, and </w:t>
      </w:r>
      <w:hyperlink r:id="rId12" w:history="1">
        <w:r w:rsidRPr="0067300B">
          <w:rPr>
            <w:rFonts w:ascii="Times New Roman" w:eastAsia="Times New Roman" w:hAnsi="Times New Roman" w:cs="Times New Roman"/>
            <w:color w:val="0000FF"/>
            <w:sz w:val="32"/>
            <w:szCs w:val="32"/>
            <w:u w:val="single"/>
          </w:rPr>
          <w:t>Capon method</w:t>
        </w:r>
      </w:hyperlink>
      <w:r w:rsidRPr="0067300B">
        <w:rPr>
          <w:rFonts w:ascii="Times New Roman" w:eastAsia="Times New Roman" w:hAnsi="Times New Roman" w:cs="Times New Roman"/>
          <w:sz w:val="32"/>
          <w:szCs w:val="32"/>
        </w:rPr>
        <w:t xml:space="preserve">, are based on the </w:t>
      </w:r>
      <w:hyperlink r:id="rId13" w:history="1">
        <w:r w:rsidRPr="0067300B">
          <w:rPr>
            <w:rFonts w:ascii="Times New Roman" w:eastAsia="Times New Roman" w:hAnsi="Times New Roman" w:cs="Times New Roman"/>
            <w:color w:val="0000FF"/>
            <w:sz w:val="32"/>
            <w:szCs w:val="32"/>
            <w:u w:val="single"/>
          </w:rPr>
          <w:t>discrete Fourier transform</w:t>
        </w:r>
      </w:hyperlink>
      <w:r w:rsidRPr="0067300B">
        <w:rPr>
          <w:rFonts w:ascii="Times New Roman" w:eastAsia="Times New Roman" w:hAnsi="Times New Roman" w:cs="Times New Roman"/>
          <w:sz w:val="32"/>
          <w:szCs w:val="32"/>
        </w:rPr>
        <w:t>. You do not need to obtain the parameters of the time series before using these methods.</w:t>
      </w:r>
    </w:p>
    <w:p w:rsidR="00913771" w:rsidRPr="0067300B" w:rsidRDefault="00913771" w:rsidP="00913771">
      <w:pPr>
        <w:spacing w:before="100" w:beforeAutospacing="1" w:after="100" w:afterAutospacing="1" w:line="240" w:lineRule="auto"/>
        <w:rPr>
          <w:rFonts w:ascii="Times New Roman" w:eastAsia="Times New Roman" w:hAnsi="Times New Roman" w:cs="Times New Roman"/>
          <w:sz w:val="32"/>
          <w:szCs w:val="32"/>
        </w:rPr>
      </w:pPr>
      <w:r w:rsidRPr="0067300B">
        <w:rPr>
          <w:rFonts w:ascii="Times New Roman" w:eastAsia="Times New Roman" w:hAnsi="Times New Roman" w:cs="Times New Roman"/>
          <w:sz w:val="32"/>
          <w:szCs w:val="32"/>
        </w:rPr>
        <w:t xml:space="preserve">The primary limitation of nonparametric methods is that the computation uses </w:t>
      </w:r>
      <w:hyperlink r:id="rId14" w:history="1">
        <w:r w:rsidRPr="0067300B">
          <w:rPr>
            <w:rFonts w:ascii="Times New Roman" w:eastAsia="Times New Roman" w:hAnsi="Times New Roman" w:cs="Times New Roman"/>
            <w:color w:val="0000FF"/>
            <w:sz w:val="32"/>
            <w:szCs w:val="32"/>
            <w:u w:val="single"/>
          </w:rPr>
          <w:t>data windowing</w:t>
        </w:r>
      </w:hyperlink>
      <w:r w:rsidRPr="0067300B">
        <w:rPr>
          <w:rFonts w:ascii="Times New Roman" w:eastAsia="Times New Roman" w:hAnsi="Times New Roman" w:cs="Times New Roman"/>
          <w:sz w:val="32"/>
          <w:szCs w:val="32"/>
        </w:rPr>
        <w:t>, resulting in distortion of the resulting PSDs due to window effects. The key benefit of nonparametric methods is the robustness—the estimated PSDs do not contain spurious frequency peaks. In contrast, parametric methods do not use data windowing. Parametric methods assume a signal fits a particular model. The estimated PSDs may contain spurious frequency peaks if the assumed model is wrong. PSDs estimated with parametric methods are less biased and possess a lower variance than PSDs estimated with nonparametric methods if the assumed model is correct. However, the magnitudes of PSDs estimated with parametric methods usually are incorrect.</w:t>
      </w:r>
    </w:p>
    <w:tbl>
      <w:tblPr>
        <w:tblW w:w="0" w:type="auto"/>
        <w:tblCellSpacing w:w="15" w:type="dxa"/>
        <w:tblCellMar>
          <w:top w:w="15" w:type="dxa"/>
          <w:left w:w="15" w:type="dxa"/>
          <w:bottom w:w="15" w:type="dxa"/>
          <w:right w:w="15" w:type="dxa"/>
        </w:tblCellMar>
        <w:tblLook w:val="04A0"/>
      </w:tblPr>
      <w:tblGrid>
        <w:gridCol w:w="502"/>
        <w:gridCol w:w="8948"/>
      </w:tblGrid>
      <w:tr w:rsidR="00913771" w:rsidRPr="00913771" w:rsidTr="00913771">
        <w:trPr>
          <w:tblCellSpacing w:w="15" w:type="dxa"/>
        </w:trPr>
        <w:tc>
          <w:tcPr>
            <w:tcW w:w="0" w:type="auto"/>
            <w:vAlign w:val="center"/>
            <w:hideMark/>
          </w:tcPr>
          <w:p w:rsidR="00913771" w:rsidRPr="00913771" w:rsidRDefault="00913771" w:rsidP="0091377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52095" cy="236220"/>
                  <wp:effectExtent l="19050" t="0" r="0" b="0"/>
                  <wp:docPr id="1" name="Picture 1" descr="http://zone.ni.com/images/reference/en-XX/help/371419D-01/no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one.ni.com/images/reference/en-XX/help/371419D-01/note.gif"/>
                          <pic:cNvPicPr>
                            <a:picLocks noChangeAspect="1" noChangeArrowheads="1"/>
                          </pic:cNvPicPr>
                        </pic:nvPicPr>
                        <pic:blipFill>
                          <a:blip r:embed="rId15"/>
                          <a:srcRect/>
                          <a:stretch>
                            <a:fillRect/>
                          </a:stretch>
                        </pic:blipFill>
                        <pic:spPr bwMode="auto">
                          <a:xfrm>
                            <a:off x="0" y="0"/>
                            <a:ext cx="252095" cy="236220"/>
                          </a:xfrm>
                          <a:prstGeom prst="rect">
                            <a:avLst/>
                          </a:prstGeom>
                          <a:noFill/>
                          <a:ln w="9525">
                            <a:noFill/>
                            <a:miter lim="800000"/>
                            <a:headEnd/>
                            <a:tailEnd/>
                          </a:ln>
                        </pic:spPr>
                      </pic:pic>
                    </a:graphicData>
                  </a:graphic>
                </wp:inline>
              </w:drawing>
            </w:r>
          </w:p>
        </w:tc>
        <w:tc>
          <w:tcPr>
            <w:tcW w:w="0" w:type="auto"/>
            <w:vAlign w:val="center"/>
            <w:hideMark/>
          </w:tcPr>
          <w:p w:rsidR="00913771" w:rsidRPr="00913771" w:rsidRDefault="00913771" w:rsidP="00913771">
            <w:pPr>
              <w:spacing w:after="0" w:line="240" w:lineRule="auto"/>
              <w:rPr>
                <w:rFonts w:ascii="Times New Roman" w:eastAsia="Times New Roman" w:hAnsi="Times New Roman" w:cs="Times New Roman"/>
                <w:sz w:val="24"/>
                <w:szCs w:val="24"/>
              </w:rPr>
            </w:pPr>
            <w:r w:rsidRPr="00913771">
              <w:rPr>
                <w:rFonts w:ascii="Times New Roman" w:eastAsia="Times New Roman" w:hAnsi="Times New Roman" w:cs="Times New Roman"/>
                <w:b/>
                <w:bCs/>
                <w:sz w:val="24"/>
                <w:szCs w:val="24"/>
              </w:rPr>
              <w:t>Note</w:t>
            </w:r>
            <w:r w:rsidRPr="00913771">
              <w:rPr>
                <w:rFonts w:ascii="Times New Roman" w:eastAsia="Times New Roman" w:hAnsi="Times New Roman" w:cs="Times New Roman"/>
                <w:sz w:val="24"/>
                <w:szCs w:val="24"/>
              </w:rPr>
              <w:t xml:space="preserve">  During spectral analysis, you can average successive spectrum measurements to reduce estimation variance and improve measurement accuracy. Use the </w:t>
            </w:r>
            <w:hyperlink r:id="rId16" w:history="1">
              <w:r w:rsidRPr="00913771">
                <w:rPr>
                  <w:rFonts w:ascii="Times New Roman" w:eastAsia="Times New Roman" w:hAnsi="Times New Roman" w:cs="Times New Roman"/>
                  <w:color w:val="0000FF"/>
                  <w:sz w:val="24"/>
                  <w:szCs w:val="24"/>
                  <w:u w:val="single"/>
                </w:rPr>
                <w:t>TSA Average PSD</w:t>
              </w:r>
            </w:hyperlink>
            <w:r w:rsidRPr="00913771">
              <w:rPr>
                <w:rFonts w:ascii="Times New Roman" w:eastAsia="Times New Roman" w:hAnsi="Times New Roman" w:cs="Times New Roman"/>
                <w:sz w:val="24"/>
                <w:szCs w:val="24"/>
              </w:rPr>
              <w:t xml:space="preserve"> VI to average the estimated spectrum continuously.</w:t>
            </w:r>
          </w:p>
        </w:tc>
      </w:tr>
    </w:tbl>
    <w:p w:rsidR="001B01ED" w:rsidRDefault="001B01ED"/>
    <w:sectPr w:rsidR="001B01ED" w:rsidSect="001B01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E3B74"/>
    <w:multiLevelType w:val="multilevel"/>
    <w:tmpl w:val="30B02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20"/>
  <w:characterSpacingControl w:val="doNotCompress"/>
  <w:compat/>
  <w:rsids>
    <w:rsidRoot w:val="00913771"/>
    <w:rsid w:val="001B01ED"/>
    <w:rsid w:val="00340C53"/>
    <w:rsid w:val="00570893"/>
    <w:rsid w:val="0067300B"/>
    <w:rsid w:val="00913771"/>
    <w:rsid w:val="00CF26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1ED"/>
  </w:style>
  <w:style w:type="paragraph" w:styleId="Heading1">
    <w:name w:val="heading 1"/>
    <w:basedOn w:val="Normal"/>
    <w:link w:val="Heading1Char"/>
    <w:uiPriority w:val="9"/>
    <w:qFormat/>
    <w:rsid w:val="009137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771"/>
    <w:rPr>
      <w:rFonts w:ascii="Times New Roman" w:eastAsia="Times New Roman" w:hAnsi="Times New Roman" w:cs="Times New Roman"/>
      <w:b/>
      <w:bCs/>
      <w:kern w:val="36"/>
      <w:sz w:val="48"/>
      <w:szCs w:val="48"/>
    </w:rPr>
  </w:style>
  <w:style w:type="character" w:customStyle="1" w:styleId="noindex">
    <w:name w:val="noindex"/>
    <w:basedOn w:val="DefaultParagraphFont"/>
    <w:rsid w:val="00913771"/>
  </w:style>
  <w:style w:type="character" w:styleId="Hyperlink">
    <w:name w:val="Hyperlink"/>
    <w:basedOn w:val="DefaultParagraphFont"/>
    <w:uiPriority w:val="99"/>
    <w:semiHidden/>
    <w:unhideWhenUsed/>
    <w:rsid w:val="00913771"/>
    <w:rPr>
      <w:color w:val="0000FF"/>
      <w:u w:val="single"/>
    </w:rPr>
  </w:style>
  <w:style w:type="character" w:styleId="Strong">
    <w:name w:val="Strong"/>
    <w:basedOn w:val="DefaultParagraphFont"/>
    <w:uiPriority w:val="22"/>
    <w:qFormat/>
    <w:rsid w:val="00913771"/>
    <w:rPr>
      <w:b/>
      <w:bCs/>
    </w:rPr>
  </w:style>
  <w:style w:type="paragraph" w:customStyle="1" w:styleId="body">
    <w:name w:val="body"/>
    <w:basedOn w:val="Normal"/>
    <w:rsid w:val="0091377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13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7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6506323">
      <w:bodyDiv w:val="1"/>
      <w:marLeft w:val="0"/>
      <w:marRight w:val="0"/>
      <w:marTop w:val="0"/>
      <w:marBottom w:val="0"/>
      <w:divBdr>
        <w:top w:val="none" w:sz="0" w:space="0" w:color="auto"/>
        <w:left w:val="none" w:sz="0" w:space="0" w:color="auto"/>
        <w:bottom w:val="none" w:sz="0" w:space="0" w:color="auto"/>
        <w:right w:val="none" w:sz="0" w:space="0" w:color="auto"/>
      </w:divBdr>
      <w:divsChild>
        <w:div w:id="713041313">
          <w:marLeft w:val="0"/>
          <w:marRight w:val="0"/>
          <w:marTop w:val="0"/>
          <w:marBottom w:val="0"/>
          <w:divBdr>
            <w:top w:val="none" w:sz="0" w:space="0" w:color="auto"/>
            <w:left w:val="none" w:sz="0" w:space="0" w:color="auto"/>
            <w:bottom w:val="none" w:sz="0" w:space="0" w:color="auto"/>
            <w:right w:val="none" w:sz="0" w:space="0" w:color="auto"/>
          </w:divBdr>
          <w:divsChild>
            <w:div w:id="1396591431">
              <w:marLeft w:val="0"/>
              <w:marRight w:val="0"/>
              <w:marTop w:val="0"/>
              <w:marBottom w:val="0"/>
              <w:divBdr>
                <w:top w:val="none" w:sz="0" w:space="0" w:color="auto"/>
                <w:left w:val="none" w:sz="0" w:space="0" w:color="auto"/>
                <w:bottom w:val="none" w:sz="0" w:space="0" w:color="auto"/>
                <w:right w:val="none" w:sz="0" w:space="0" w:color="auto"/>
              </w:divBdr>
            </w:div>
            <w:div w:id="205974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one.ni.com/reference/en-XX/help/371419D-01/lvasptconcepts/tsa_building_models/" TargetMode="External"/><Relationship Id="rId13" Type="http://schemas.openxmlformats.org/officeDocument/2006/relationships/hyperlink" Target="http://zone.ni.com/reference/en-XX/help/371361G-01/lvanlsconcepts/discrete_fourier_transfor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one.ni.com/reference/en-XX/help/371419D-01/lvasptconcepts/tsa_model-based/" TargetMode="External"/><Relationship Id="rId12" Type="http://schemas.openxmlformats.org/officeDocument/2006/relationships/hyperlink" Target="http://zone.ni.com/reference/en-XX/help/371419D-01/lvasptconcepts/tsa_capo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one.ni.com/reference/en-XX/help/371419D-01/lvtimeseriestk/tsa_average_psd/" TargetMode="External"/><Relationship Id="rId1" Type="http://schemas.openxmlformats.org/officeDocument/2006/relationships/numbering" Target="numbering.xml"/><Relationship Id="rId6" Type="http://schemas.openxmlformats.org/officeDocument/2006/relationships/hyperlink" Target="http://zone.ni.com/reference/en-XX/help/371419D-01/lvtimeseriestk/tsa_scale_to_eu/" TargetMode="External"/><Relationship Id="rId11" Type="http://schemas.openxmlformats.org/officeDocument/2006/relationships/hyperlink" Target="http://zone.ni.com/reference/en-XX/help/371419D-01/lvasptconcepts/aspt_welch/" TargetMode="External"/><Relationship Id="rId5" Type="http://schemas.openxmlformats.org/officeDocument/2006/relationships/hyperlink" Target="http://sine.ni.com/nips/cds/view/p/lang/en/nid/1395" TargetMode="External"/><Relationship Id="rId15" Type="http://schemas.openxmlformats.org/officeDocument/2006/relationships/image" Target="media/image1.gif"/><Relationship Id="rId10" Type="http://schemas.openxmlformats.org/officeDocument/2006/relationships/hyperlink" Target="http://zone.ni.com/reference/en-XX/help/371419D-01/lvasptconcepts/aspt_periodogram/" TargetMode="External"/><Relationship Id="rId4" Type="http://schemas.openxmlformats.org/officeDocument/2006/relationships/webSettings" Target="webSettings.xml"/><Relationship Id="rId9" Type="http://schemas.openxmlformats.org/officeDocument/2006/relationships/hyperlink" Target="http://zone.ni.com/reference/en-XX/help/371419D-01/lvasptconcepts/aspt_music/" TargetMode="External"/><Relationship Id="rId14" Type="http://schemas.openxmlformats.org/officeDocument/2006/relationships/hyperlink" Target="http://zone.ni.com/reference/en-XX/help/371361G-01/lvanlsconcepts/windowing_sign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2014-11-11T05:44:00Z</dcterms:created>
  <dcterms:modified xsi:type="dcterms:W3CDTF">2014-11-11T05:44:00Z</dcterms:modified>
</cp:coreProperties>
</file>